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4A" w:rsidRPr="00204038" w:rsidRDefault="009D214A" w:rsidP="009D214A">
      <w:pPr>
        <w:jc w:val="center"/>
        <w:rPr>
          <w:b/>
          <w:sz w:val="24"/>
          <w:szCs w:val="24"/>
        </w:rPr>
      </w:pPr>
      <w:proofErr w:type="spellStart"/>
      <w:r w:rsidRPr="00204038">
        <w:rPr>
          <w:b/>
          <w:sz w:val="24"/>
          <w:szCs w:val="24"/>
        </w:rPr>
        <w:t>Обґрунтування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технічних</w:t>
      </w:r>
      <w:proofErr w:type="spellEnd"/>
      <w:r w:rsidRPr="00204038">
        <w:rPr>
          <w:b/>
          <w:sz w:val="24"/>
          <w:szCs w:val="24"/>
        </w:rPr>
        <w:t xml:space="preserve"> та </w:t>
      </w:r>
      <w:proofErr w:type="spellStart"/>
      <w:r w:rsidRPr="00204038">
        <w:rPr>
          <w:b/>
          <w:sz w:val="24"/>
          <w:szCs w:val="24"/>
        </w:rPr>
        <w:t>якісних</w:t>
      </w:r>
      <w:proofErr w:type="spellEnd"/>
      <w:r w:rsidRPr="00204038">
        <w:rPr>
          <w:b/>
          <w:sz w:val="24"/>
          <w:szCs w:val="24"/>
        </w:rPr>
        <w:t xml:space="preserve"> характеристик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розміру</w:t>
      </w:r>
      <w:proofErr w:type="spellEnd"/>
      <w:r w:rsidRPr="00204038">
        <w:rPr>
          <w:b/>
          <w:sz w:val="24"/>
          <w:szCs w:val="24"/>
        </w:rPr>
        <w:t xml:space="preserve"> бюджетного </w:t>
      </w:r>
      <w:proofErr w:type="spellStart"/>
      <w:r w:rsidRPr="00204038">
        <w:rPr>
          <w:b/>
          <w:sz w:val="24"/>
          <w:szCs w:val="24"/>
        </w:rPr>
        <w:t>призначення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очікуваної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вартості</w:t>
      </w:r>
      <w:proofErr w:type="spellEnd"/>
      <w:r w:rsidRPr="00204038">
        <w:rPr>
          <w:b/>
          <w:sz w:val="24"/>
          <w:szCs w:val="24"/>
        </w:rPr>
        <w:t xml:space="preserve">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</w:p>
    <w:p w:rsidR="009D214A" w:rsidRPr="00204038" w:rsidRDefault="009D214A" w:rsidP="009D214A">
      <w:pPr>
        <w:spacing w:after="120"/>
        <w:contextualSpacing/>
        <w:jc w:val="center"/>
        <w:rPr>
          <w:sz w:val="24"/>
          <w:szCs w:val="24"/>
        </w:rPr>
      </w:pPr>
      <w:r w:rsidRPr="00204038">
        <w:rPr>
          <w:sz w:val="24"/>
          <w:szCs w:val="24"/>
        </w:rPr>
        <w:t>(</w:t>
      </w:r>
      <w:proofErr w:type="spellStart"/>
      <w:r w:rsidRPr="00204038">
        <w:rPr>
          <w:sz w:val="24"/>
          <w:szCs w:val="24"/>
        </w:rPr>
        <w:t>відповідно</w:t>
      </w:r>
      <w:proofErr w:type="spellEnd"/>
      <w:r w:rsidRPr="00204038">
        <w:rPr>
          <w:sz w:val="24"/>
          <w:szCs w:val="24"/>
        </w:rPr>
        <w:t xml:space="preserve"> </w:t>
      </w:r>
      <w:proofErr w:type="gramStart"/>
      <w:r w:rsidRPr="00204038">
        <w:rPr>
          <w:sz w:val="24"/>
          <w:szCs w:val="24"/>
        </w:rPr>
        <w:t>до пункту</w:t>
      </w:r>
      <w:proofErr w:type="gramEnd"/>
      <w:r w:rsidRPr="00204038">
        <w:rPr>
          <w:sz w:val="24"/>
          <w:szCs w:val="24"/>
        </w:rPr>
        <w:t xml:space="preserve"> 4</w:t>
      </w:r>
      <w:r w:rsidRPr="00204038">
        <w:rPr>
          <w:sz w:val="24"/>
          <w:szCs w:val="24"/>
          <w:vertAlign w:val="superscript"/>
        </w:rPr>
        <w:t xml:space="preserve">1 </w:t>
      </w:r>
      <w:r w:rsidRPr="00204038">
        <w:rPr>
          <w:sz w:val="24"/>
          <w:szCs w:val="24"/>
        </w:rPr>
        <w:t xml:space="preserve">постанови КМУ </w:t>
      </w:r>
      <w:proofErr w:type="spellStart"/>
      <w:r w:rsidRPr="00204038">
        <w:rPr>
          <w:sz w:val="24"/>
          <w:szCs w:val="24"/>
        </w:rPr>
        <w:t>від</w:t>
      </w:r>
      <w:proofErr w:type="spellEnd"/>
      <w:r w:rsidRPr="00204038">
        <w:rPr>
          <w:sz w:val="24"/>
          <w:szCs w:val="24"/>
        </w:rPr>
        <w:t xml:space="preserve"> 11.10.2016 № 710 «Про </w:t>
      </w:r>
      <w:proofErr w:type="spellStart"/>
      <w:r w:rsidRPr="00204038">
        <w:rPr>
          <w:sz w:val="24"/>
          <w:szCs w:val="24"/>
        </w:rPr>
        <w:t>ефективне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використання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державних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коштів</w:t>
      </w:r>
      <w:proofErr w:type="spellEnd"/>
      <w:r w:rsidRPr="00204038">
        <w:rPr>
          <w:sz w:val="24"/>
          <w:szCs w:val="24"/>
        </w:rPr>
        <w:t>» (</w:t>
      </w:r>
      <w:proofErr w:type="spellStart"/>
      <w:r w:rsidRPr="00204038">
        <w:rPr>
          <w:sz w:val="24"/>
          <w:szCs w:val="24"/>
        </w:rPr>
        <w:t>зі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змінами</w:t>
      </w:r>
      <w:proofErr w:type="spellEnd"/>
      <w:r w:rsidRPr="00204038">
        <w:rPr>
          <w:sz w:val="24"/>
          <w:szCs w:val="24"/>
        </w:rPr>
        <w:t>))</w:t>
      </w:r>
    </w:p>
    <w:p w:rsidR="009D214A" w:rsidRDefault="009D214A" w:rsidP="009D214A"/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Назва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156AB7" w:rsidRDefault="00156AB7" w:rsidP="00360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156AB7">
              <w:rPr>
                <w:b w:val="0"/>
                <w:sz w:val="24"/>
                <w:szCs w:val="24"/>
              </w:rPr>
              <w:t>«Навчально-дидактичний матеріал та засоби навчання для «Нової української школи» за кодом ДК 021:2015 39160000-1: Шкільні меблі»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r w:rsidRPr="0089282F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89282F">
              <w:rPr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9D214A" w:rsidP="00360668">
            <w:pPr>
              <w:rPr>
                <w:sz w:val="24"/>
                <w:szCs w:val="24"/>
              </w:rPr>
            </w:pPr>
            <w:proofErr w:type="spellStart"/>
            <w:r w:rsidRPr="00054FF7">
              <w:rPr>
                <w:sz w:val="24"/>
                <w:szCs w:val="24"/>
              </w:rPr>
              <w:t>Відкриті</w:t>
            </w:r>
            <w:proofErr w:type="spellEnd"/>
            <w:r w:rsidRPr="00054FF7">
              <w:rPr>
                <w:sz w:val="24"/>
                <w:szCs w:val="24"/>
              </w:rPr>
              <w:t xml:space="preserve"> торги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Ідентифікатор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052127" w:rsidP="00360668">
            <w:pPr>
              <w:rPr>
                <w:sz w:val="24"/>
                <w:szCs w:val="24"/>
              </w:rPr>
            </w:pPr>
            <w:r w:rsidRPr="00052127">
              <w:rPr>
                <w:sz w:val="24"/>
                <w:szCs w:val="24"/>
              </w:rPr>
              <w:t>UA-2021-0</w:t>
            </w:r>
            <w:r w:rsidR="00156AB7">
              <w:rPr>
                <w:sz w:val="24"/>
                <w:szCs w:val="24"/>
              </w:rPr>
              <w:t>7</w:t>
            </w:r>
            <w:r w:rsidRPr="00052127">
              <w:rPr>
                <w:sz w:val="24"/>
                <w:szCs w:val="24"/>
              </w:rPr>
              <w:t>-</w:t>
            </w:r>
            <w:r w:rsidR="00156AB7">
              <w:rPr>
                <w:sz w:val="24"/>
                <w:szCs w:val="24"/>
              </w:rPr>
              <w:t>23</w:t>
            </w:r>
            <w:r w:rsidRPr="00052127">
              <w:rPr>
                <w:sz w:val="24"/>
                <w:szCs w:val="24"/>
              </w:rPr>
              <w:t>-00</w:t>
            </w:r>
            <w:r w:rsidR="00156AB7">
              <w:rPr>
                <w:sz w:val="24"/>
                <w:szCs w:val="24"/>
              </w:rPr>
              <w:t>3</w:t>
            </w:r>
            <w:r w:rsidRPr="00052127">
              <w:rPr>
                <w:sz w:val="24"/>
                <w:szCs w:val="24"/>
              </w:rPr>
              <w:t>6</w:t>
            </w:r>
            <w:r w:rsidR="00156AB7">
              <w:rPr>
                <w:sz w:val="24"/>
                <w:szCs w:val="24"/>
              </w:rPr>
              <w:t>20</w:t>
            </w:r>
            <w:r w:rsidRPr="00052127">
              <w:rPr>
                <w:sz w:val="24"/>
                <w:szCs w:val="24"/>
              </w:rPr>
              <w:t>-</w:t>
            </w:r>
            <w:r w:rsidR="00156AB7">
              <w:rPr>
                <w:sz w:val="24"/>
                <w:szCs w:val="24"/>
              </w:rPr>
              <w:t>с</w:t>
            </w:r>
          </w:p>
        </w:tc>
      </w:tr>
      <w:tr w:rsidR="009D214A" w:rsidRPr="00156AB7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технічних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9282F">
              <w:rPr>
                <w:b/>
                <w:sz w:val="24"/>
                <w:szCs w:val="24"/>
              </w:rPr>
              <w:t>якісних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69369C" w:rsidRDefault="009D214A" w:rsidP="00360668">
            <w:pPr>
              <w:shd w:val="clear" w:color="auto" w:fill="FFFFFF"/>
              <w:jc w:val="both"/>
              <w:textAlignment w:val="baseline"/>
              <w:outlineLvl w:val="0"/>
              <w:rPr>
                <w:kern w:val="36"/>
                <w:sz w:val="24"/>
                <w:szCs w:val="24"/>
                <w:lang w:eastAsia="uk-UA"/>
              </w:rPr>
            </w:pPr>
            <w:proofErr w:type="spellStart"/>
            <w:r w:rsidRPr="0069369C">
              <w:rPr>
                <w:sz w:val="24"/>
                <w:szCs w:val="24"/>
              </w:rPr>
              <w:t>Інформація</w:t>
            </w:r>
            <w:proofErr w:type="spellEnd"/>
            <w:r w:rsidRPr="0069369C">
              <w:rPr>
                <w:sz w:val="24"/>
                <w:szCs w:val="24"/>
              </w:rPr>
              <w:t xml:space="preserve"> про </w:t>
            </w: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,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кількісні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наведена в </w:t>
            </w:r>
            <w:proofErr w:type="spellStart"/>
            <w:r w:rsidRPr="0069369C">
              <w:rPr>
                <w:sz w:val="24"/>
                <w:szCs w:val="24"/>
              </w:rPr>
              <w:t>Додатку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r w:rsidR="00156AB7">
              <w:rPr>
                <w:sz w:val="24"/>
                <w:szCs w:val="24"/>
              </w:rPr>
              <w:t>2</w:t>
            </w:r>
            <w:r w:rsidRPr="0069369C">
              <w:rPr>
                <w:sz w:val="24"/>
                <w:szCs w:val="24"/>
              </w:rPr>
              <w:t xml:space="preserve"> до </w:t>
            </w:r>
            <w:proofErr w:type="spellStart"/>
            <w:r w:rsidRPr="0069369C">
              <w:rPr>
                <w:sz w:val="24"/>
                <w:szCs w:val="24"/>
              </w:rPr>
              <w:t>тендерної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документації</w:t>
            </w:r>
            <w:proofErr w:type="spellEnd"/>
            <w:r w:rsidRPr="0069369C">
              <w:rPr>
                <w:sz w:val="24"/>
                <w:szCs w:val="24"/>
              </w:rPr>
              <w:t xml:space="preserve"> на </w:t>
            </w:r>
            <w:proofErr w:type="spellStart"/>
            <w:r w:rsidRPr="0069369C">
              <w:rPr>
                <w:sz w:val="24"/>
                <w:szCs w:val="24"/>
              </w:rPr>
              <w:t>закупівлю</w:t>
            </w:r>
            <w:proofErr w:type="spellEnd"/>
            <w:r w:rsidRPr="0069369C">
              <w:rPr>
                <w:kern w:val="36"/>
                <w:sz w:val="24"/>
                <w:szCs w:val="24"/>
                <w:lang w:eastAsia="uk-UA"/>
              </w:rPr>
              <w:t>. </w:t>
            </w:r>
          </w:p>
          <w:p w:rsidR="009D214A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визначені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відповідно</w:t>
            </w:r>
            <w:proofErr w:type="spellEnd"/>
            <w:r w:rsidRPr="0069369C">
              <w:rPr>
                <w:sz w:val="24"/>
                <w:szCs w:val="24"/>
              </w:rPr>
              <w:t xml:space="preserve"> до потреб </w:t>
            </w:r>
            <w:proofErr w:type="spellStart"/>
            <w:r w:rsidRPr="0069369C">
              <w:rPr>
                <w:sz w:val="24"/>
                <w:szCs w:val="24"/>
              </w:rPr>
              <w:t>замовника</w:t>
            </w:r>
            <w:proofErr w:type="spellEnd"/>
            <w:r w:rsidRPr="0069369C">
              <w:rPr>
                <w:sz w:val="24"/>
                <w:szCs w:val="24"/>
              </w:rPr>
              <w:t xml:space="preserve"> та з </w:t>
            </w:r>
            <w:proofErr w:type="spellStart"/>
            <w:r w:rsidRPr="0069369C">
              <w:rPr>
                <w:sz w:val="24"/>
                <w:szCs w:val="24"/>
              </w:rPr>
              <w:t>урахуванням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вимог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450F" w:rsidRPr="008F450F" w:rsidRDefault="008F450F" w:rsidP="0036066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розміру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89282F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</w:tcPr>
          <w:p w:rsidR="009D214A" w:rsidRPr="008F450F" w:rsidRDefault="009D214A" w:rsidP="0036066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F15CA">
              <w:rPr>
                <w:sz w:val="24"/>
                <w:szCs w:val="24"/>
              </w:rPr>
              <w:t>Розмір</w:t>
            </w:r>
            <w:proofErr w:type="spellEnd"/>
            <w:r w:rsidRPr="000F15CA">
              <w:rPr>
                <w:sz w:val="24"/>
                <w:szCs w:val="24"/>
              </w:rPr>
              <w:t xml:space="preserve"> бюджетного </w:t>
            </w:r>
            <w:proofErr w:type="spellStart"/>
            <w:r w:rsidRPr="000F15CA">
              <w:rPr>
                <w:sz w:val="24"/>
                <w:szCs w:val="24"/>
              </w:rPr>
              <w:t>призначення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визначен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відповідно</w:t>
            </w:r>
            <w:proofErr w:type="spellEnd"/>
            <w:r w:rsidR="00156AB7">
              <w:rPr>
                <w:sz w:val="24"/>
                <w:szCs w:val="24"/>
                <w:lang w:val="uk-UA"/>
              </w:rPr>
              <w:t xml:space="preserve"> до </w:t>
            </w:r>
            <w:r w:rsidR="00156AB7" w:rsidRPr="00156AB7">
              <w:rPr>
                <w:sz w:val="24"/>
                <w:szCs w:val="24"/>
                <w:lang w:val="uk-UA"/>
              </w:rPr>
              <w:t>цільової субвенції НУШ</w:t>
            </w:r>
            <w:r w:rsidRPr="000F1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0F15CA">
              <w:rPr>
                <w:sz w:val="24"/>
                <w:szCs w:val="24"/>
              </w:rPr>
              <w:t xml:space="preserve">а 2021 </w:t>
            </w:r>
            <w:proofErr w:type="spellStart"/>
            <w:r w:rsidRPr="000F15CA">
              <w:rPr>
                <w:sz w:val="24"/>
                <w:szCs w:val="24"/>
              </w:rPr>
              <w:t>рік</w:t>
            </w:r>
            <w:proofErr w:type="spellEnd"/>
            <w:r w:rsidR="008F450F">
              <w:rPr>
                <w:sz w:val="24"/>
                <w:szCs w:val="24"/>
                <w:lang w:val="uk-UA"/>
              </w:rPr>
              <w:t xml:space="preserve"> та </w:t>
            </w:r>
            <w:r w:rsidR="00156AB7">
              <w:rPr>
                <w:sz w:val="24"/>
                <w:szCs w:val="24"/>
                <w:lang w:val="uk-UA"/>
              </w:rPr>
              <w:t>співфінансування.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Очікувана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вартість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F450F" w:rsidRDefault="00156AB7" w:rsidP="00360668">
            <w:pPr>
              <w:rPr>
                <w:sz w:val="24"/>
                <w:szCs w:val="24"/>
              </w:rPr>
            </w:pPr>
            <w:r>
              <w:rPr>
                <w:rStyle w:val="qabuget"/>
                <w:sz w:val="24"/>
                <w:szCs w:val="24"/>
                <w:bdr w:val="none" w:sz="0" w:space="0" w:color="auto" w:frame="1"/>
                <w:lang w:val="uk-UA"/>
              </w:rPr>
              <w:t>54 100</w:t>
            </w:r>
            <w:r w:rsidR="008F450F" w:rsidRPr="008F450F">
              <w:rPr>
                <w:rStyle w:val="qabuget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qabuget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  <w:bookmarkStart w:id="0" w:name="_GoBack"/>
            <w:bookmarkEnd w:id="0"/>
            <w:r w:rsidR="00052127">
              <w:rPr>
                <w:rStyle w:val="qabuget"/>
                <w:sz w:val="24"/>
                <w:szCs w:val="24"/>
                <w:bdr w:val="none" w:sz="0" w:space="0" w:color="auto" w:frame="1"/>
              </w:rPr>
              <w:t>0</w:t>
            </w:r>
            <w:r w:rsidR="008F450F" w:rsidRPr="008F450F">
              <w:rPr>
                <w:rStyle w:val="qabuget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9D214A" w:rsidRPr="008F450F">
              <w:rPr>
                <w:rStyle w:val="qacode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9D214A" w:rsidRPr="008F450F">
              <w:rPr>
                <w:sz w:val="24"/>
                <w:szCs w:val="24"/>
                <w:shd w:val="clear" w:color="auto" w:fill="FFFFFF"/>
              </w:rPr>
              <w:t> </w:t>
            </w:r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proofErr w:type="spellStart"/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>т.ч</w:t>
            </w:r>
            <w:proofErr w:type="spellEnd"/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9D214A" w:rsidRPr="008F450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ПДВ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очікуваної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вартості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9282F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DD4CA6">
              <w:rPr>
                <w:sz w:val="24"/>
                <w:szCs w:val="24"/>
              </w:rPr>
              <w:t>Міністерством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розвитку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економіки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торгівлі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сільського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господарства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України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затверджена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примірна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методика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18.02.2020 №</w:t>
            </w:r>
            <w:r>
              <w:rPr>
                <w:sz w:val="24"/>
                <w:szCs w:val="24"/>
              </w:rPr>
              <w:t xml:space="preserve"> </w:t>
            </w:r>
            <w:r w:rsidRPr="00DD4CA6">
              <w:rPr>
                <w:sz w:val="24"/>
                <w:szCs w:val="24"/>
              </w:rPr>
              <w:t xml:space="preserve">275, </w:t>
            </w:r>
            <w:proofErr w:type="spellStart"/>
            <w:r w:rsidRPr="00DD4CA6">
              <w:rPr>
                <w:sz w:val="24"/>
                <w:szCs w:val="24"/>
              </w:rPr>
              <w:t>якою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передбачені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: 1) </w:t>
            </w:r>
            <w:proofErr w:type="spellStart"/>
            <w:r w:rsidRPr="00DD4CA6">
              <w:rPr>
                <w:sz w:val="24"/>
                <w:szCs w:val="24"/>
              </w:rPr>
              <w:t>здійснення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пошуку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збору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аналіз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загальнодоступної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інформації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ціну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(</w:t>
            </w:r>
            <w:proofErr w:type="spellStart"/>
            <w:r w:rsidRPr="00DD4CA6">
              <w:rPr>
                <w:sz w:val="24"/>
                <w:szCs w:val="24"/>
              </w:rPr>
              <w:t>тобто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інформація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що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містяться</w:t>
            </w:r>
            <w:proofErr w:type="spellEnd"/>
            <w:r w:rsidRPr="00DD4CA6">
              <w:rPr>
                <w:sz w:val="24"/>
                <w:szCs w:val="24"/>
              </w:rPr>
              <w:t xml:space="preserve"> в </w:t>
            </w:r>
            <w:proofErr w:type="spellStart"/>
            <w:r w:rsidRPr="00DD4CA6">
              <w:rPr>
                <w:sz w:val="24"/>
                <w:szCs w:val="24"/>
              </w:rPr>
              <w:t>мережі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інтернет</w:t>
            </w:r>
            <w:proofErr w:type="spellEnd"/>
            <w:r w:rsidRPr="00DD4CA6">
              <w:rPr>
                <w:sz w:val="24"/>
                <w:szCs w:val="24"/>
              </w:rPr>
              <w:t xml:space="preserve"> у </w:t>
            </w:r>
            <w:proofErr w:type="spellStart"/>
            <w:r w:rsidRPr="00DD4CA6">
              <w:rPr>
                <w:sz w:val="24"/>
                <w:szCs w:val="24"/>
              </w:rPr>
              <w:t>відкритому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доступі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спеціалізованих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торгівельних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майданчиках</w:t>
            </w:r>
            <w:proofErr w:type="spellEnd"/>
            <w:r w:rsidRPr="00DD4CA6">
              <w:rPr>
                <w:sz w:val="24"/>
                <w:szCs w:val="24"/>
              </w:rPr>
              <w:t xml:space="preserve">, в </w:t>
            </w:r>
            <w:proofErr w:type="spellStart"/>
            <w:r w:rsidRPr="00DD4CA6">
              <w:rPr>
                <w:sz w:val="24"/>
                <w:szCs w:val="24"/>
              </w:rPr>
              <w:t>електронних</w:t>
            </w:r>
            <w:proofErr w:type="spellEnd"/>
            <w:r w:rsidRPr="00DD4CA6">
              <w:rPr>
                <w:sz w:val="24"/>
                <w:szCs w:val="24"/>
              </w:rPr>
              <w:t xml:space="preserve"> каталогах, в </w:t>
            </w:r>
            <w:proofErr w:type="spellStart"/>
            <w:r w:rsidRPr="00DD4CA6">
              <w:rPr>
                <w:sz w:val="24"/>
                <w:szCs w:val="24"/>
              </w:rPr>
              <w:t>електронній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системі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«</w:t>
            </w:r>
            <w:proofErr w:type="spellStart"/>
            <w:r w:rsidRPr="00DD4CA6">
              <w:rPr>
                <w:sz w:val="24"/>
                <w:szCs w:val="24"/>
              </w:rPr>
              <w:t>Прозоро</w:t>
            </w:r>
            <w:proofErr w:type="spellEnd"/>
            <w:r w:rsidRPr="00DD4CA6">
              <w:rPr>
                <w:sz w:val="24"/>
                <w:szCs w:val="24"/>
              </w:rPr>
              <w:t xml:space="preserve">», </w:t>
            </w:r>
            <w:proofErr w:type="spellStart"/>
            <w:r w:rsidRPr="00DD4CA6">
              <w:rPr>
                <w:sz w:val="24"/>
                <w:szCs w:val="24"/>
              </w:rPr>
              <w:t>тощо</w:t>
            </w:r>
            <w:proofErr w:type="spellEnd"/>
            <w:r w:rsidRPr="00DD4CA6">
              <w:rPr>
                <w:sz w:val="24"/>
                <w:szCs w:val="24"/>
              </w:rPr>
              <w:t xml:space="preserve">; 2) </w:t>
            </w:r>
            <w:proofErr w:type="spellStart"/>
            <w:r w:rsidRPr="00DD4CA6">
              <w:rPr>
                <w:sz w:val="24"/>
                <w:szCs w:val="24"/>
              </w:rPr>
              <w:t>отримання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комерційних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цінових</w:t>
            </w:r>
            <w:proofErr w:type="spellEnd"/>
            <w:r w:rsidRPr="00DD4CA6">
              <w:rPr>
                <w:sz w:val="24"/>
                <w:szCs w:val="24"/>
              </w:rPr>
              <w:t xml:space="preserve">) </w:t>
            </w:r>
            <w:proofErr w:type="spellStart"/>
            <w:r w:rsidRPr="00DD4CA6">
              <w:rPr>
                <w:sz w:val="24"/>
                <w:szCs w:val="24"/>
              </w:rPr>
              <w:t>пропозицій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виробників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офіційних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представників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дилерів</w:t>
            </w:r>
            <w:proofErr w:type="spellEnd"/>
            <w:r w:rsidRPr="00DD4CA6">
              <w:rPr>
                <w:sz w:val="24"/>
                <w:szCs w:val="24"/>
              </w:rPr>
              <w:t xml:space="preserve">), </w:t>
            </w:r>
            <w:proofErr w:type="spellStart"/>
            <w:r w:rsidRPr="00DD4CA6">
              <w:rPr>
                <w:sz w:val="24"/>
                <w:szCs w:val="24"/>
              </w:rPr>
              <w:t>постачальників</w:t>
            </w:r>
            <w:proofErr w:type="spellEnd"/>
            <w:r w:rsidRPr="00DD4CA6">
              <w:rPr>
                <w:sz w:val="24"/>
                <w:szCs w:val="24"/>
              </w:rPr>
              <w:t xml:space="preserve">; 3) у </w:t>
            </w:r>
            <w:proofErr w:type="spellStart"/>
            <w:r w:rsidRPr="00DD4CA6">
              <w:rPr>
                <w:sz w:val="24"/>
                <w:szCs w:val="24"/>
              </w:rPr>
              <w:t>разі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обмеження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конкуренції</w:t>
            </w:r>
            <w:proofErr w:type="spellEnd"/>
            <w:r w:rsidRPr="00DD4CA6">
              <w:rPr>
                <w:sz w:val="24"/>
                <w:szCs w:val="24"/>
              </w:rPr>
              <w:t xml:space="preserve"> на ринку </w:t>
            </w:r>
            <w:proofErr w:type="spellStart"/>
            <w:r w:rsidRPr="00DD4CA6">
              <w:rPr>
                <w:sz w:val="24"/>
                <w:szCs w:val="24"/>
              </w:rPr>
              <w:t>певних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враховуючи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їх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специфіку</w:t>
            </w:r>
            <w:proofErr w:type="spellEnd"/>
            <w:r w:rsidRPr="00DD4CA6">
              <w:rPr>
                <w:sz w:val="24"/>
                <w:szCs w:val="24"/>
              </w:rPr>
              <w:t xml:space="preserve"> при </w:t>
            </w:r>
            <w:proofErr w:type="spellStart"/>
            <w:r w:rsidRPr="00DD4CA6">
              <w:rPr>
                <w:sz w:val="24"/>
                <w:szCs w:val="24"/>
              </w:rPr>
              <w:t>розрахунку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використовуються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аналогічного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та/</w:t>
            </w:r>
            <w:proofErr w:type="spellStart"/>
            <w:r w:rsidRPr="00DD4CA6">
              <w:rPr>
                <w:sz w:val="24"/>
                <w:szCs w:val="24"/>
              </w:rPr>
              <w:t>або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періодів</w:t>
            </w:r>
            <w:proofErr w:type="spellEnd"/>
            <w:r w:rsidRPr="00DD4CA6">
              <w:rPr>
                <w:sz w:val="24"/>
                <w:szCs w:val="24"/>
              </w:rPr>
              <w:t xml:space="preserve"> (з </w:t>
            </w:r>
            <w:proofErr w:type="spellStart"/>
            <w:r w:rsidRPr="00DD4CA6">
              <w:rPr>
                <w:sz w:val="24"/>
                <w:szCs w:val="24"/>
              </w:rPr>
              <w:t>урахуванням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індексу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інфляції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зміни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курсів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іноземних</w:t>
            </w:r>
            <w:proofErr w:type="spellEnd"/>
            <w:r w:rsidRPr="00DD4CA6">
              <w:rPr>
                <w:sz w:val="24"/>
                <w:szCs w:val="24"/>
              </w:rPr>
              <w:t xml:space="preserve"> валют). </w:t>
            </w:r>
            <w:proofErr w:type="spellStart"/>
            <w:r w:rsidRPr="00DD4CA6">
              <w:rPr>
                <w:sz w:val="24"/>
                <w:szCs w:val="24"/>
              </w:rPr>
              <w:t>Відповідно</w:t>
            </w:r>
            <w:proofErr w:type="spellEnd"/>
            <w:r w:rsidRPr="00DD4CA6">
              <w:rPr>
                <w:sz w:val="24"/>
                <w:szCs w:val="24"/>
              </w:rPr>
              <w:t xml:space="preserve"> до </w:t>
            </w:r>
            <w:proofErr w:type="spellStart"/>
            <w:r w:rsidRPr="00DD4CA6">
              <w:rPr>
                <w:sz w:val="24"/>
                <w:szCs w:val="24"/>
              </w:rPr>
              <w:t>вказаної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методики, при </w:t>
            </w:r>
            <w:proofErr w:type="spellStart"/>
            <w:r w:rsidRPr="00DD4CA6">
              <w:rPr>
                <w:sz w:val="24"/>
                <w:szCs w:val="24"/>
              </w:rPr>
              <w:t>визначені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робіт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послуг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використовується</w:t>
            </w:r>
            <w:proofErr w:type="spellEnd"/>
            <w:r w:rsidRPr="00DD4CA6">
              <w:rPr>
                <w:sz w:val="24"/>
                <w:szCs w:val="24"/>
              </w:rPr>
              <w:t xml:space="preserve"> один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формування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проведення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моніторингу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</w:t>
            </w:r>
            <w:proofErr w:type="spellEnd"/>
            <w:r w:rsidRPr="00DD4CA6">
              <w:rPr>
                <w:sz w:val="24"/>
                <w:szCs w:val="24"/>
              </w:rPr>
              <w:t xml:space="preserve"> для </w:t>
            </w:r>
            <w:proofErr w:type="spellStart"/>
            <w:r w:rsidRPr="00DD4CA6">
              <w:rPr>
                <w:sz w:val="24"/>
                <w:szCs w:val="24"/>
              </w:rPr>
              <w:t>подальшого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укладення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договорів</w:t>
            </w:r>
            <w:proofErr w:type="spellEnd"/>
            <w:r w:rsidRPr="00DD4CA6">
              <w:rPr>
                <w:sz w:val="24"/>
                <w:szCs w:val="24"/>
              </w:rPr>
              <w:t xml:space="preserve">.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здійснювалося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застосуванням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одного з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вищевказаного</w:t>
            </w:r>
            <w:proofErr w:type="spellEnd"/>
            <w:r w:rsidRPr="00DD4CA6">
              <w:rPr>
                <w:sz w:val="24"/>
                <w:szCs w:val="24"/>
              </w:rPr>
              <w:t xml:space="preserve"> порядку,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</w:t>
            </w:r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</w:t>
            </w:r>
            <w:r>
              <w:rPr>
                <w:sz w:val="24"/>
                <w:szCs w:val="24"/>
              </w:rPr>
              <w:t>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DD4CA6">
              <w:rPr>
                <w:sz w:val="24"/>
                <w:szCs w:val="24"/>
              </w:rPr>
              <w:t>.</w:t>
            </w:r>
          </w:p>
        </w:tc>
      </w:tr>
    </w:tbl>
    <w:p w:rsidR="009D214A" w:rsidRDefault="009D214A" w:rsidP="009D214A"/>
    <w:p w:rsidR="00DC69A2" w:rsidRPr="009D214A" w:rsidRDefault="00DC69A2" w:rsidP="005C7E96">
      <w:pPr>
        <w:ind w:left="708" w:firstLine="567"/>
        <w:contextualSpacing/>
        <w:jc w:val="both"/>
        <w:rPr>
          <w:lang w:eastAsia="en-US"/>
        </w:rPr>
      </w:pPr>
    </w:p>
    <w:p w:rsidR="00ED2C44" w:rsidRDefault="00ED2C44"/>
    <w:sectPr w:rsidR="00ED2C44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A2"/>
    <w:rsid w:val="00021CEC"/>
    <w:rsid w:val="00052127"/>
    <w:rsid w:val="00156AB7"/>
    <w:rsid w:val="001A0A28"/>
    <w:rsid w:val="00294817"/>
    <w:rsid w:val="002B5A0D"/>
    <w:rsid w:val="00386EE3"/>
    <w:rsid w:val="003D7B73"/>
    <w:rsid w:val="00500C59"/>
    <w:rsid w:val="005837CE"/>
    <w:rsid w:val="00590652"/>
    <w:rsid w:val="005C7E96"/>
    <w:rsid w:val="008115E3"/>
    <w:rsid w:val="008F2280"/>
    <w:rsid w:val="008F450F"/>
    <w:rsid w:val="00966A68"/>
    <w:rsid w:val="009D214A"/>
    <w:rsid w:val="00B262BE"/>
    <w:rsid w:val="00BB182A"/>
    <w:rsid w:val="00BE3AE4"/>
    <w:rsid w:val="00CC5A76"/>
    <w:rsid w:val="00D0327A"/>
    <w:rsid w:val="00DC69A2"/>
    <w:rsid w:val="00E91D20"/>
    <w:rsid w:val="00ED2C44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D98"/>
  <w15:docId w15:val="{00C91AA7-9CE1-4C9E-B4F8-8F821C2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9D2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21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9D214A"/>
  </w:style>
  <w:style w:type="character" w:customStyle="1" w:styleId="qacode">
    <w:name w:val="qa_code"/>
    <w:basedOn w:val="a0"/>
    <w:rsid w:val="009D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21</cp:revision>
  <cp:lastPrinted>2021-05-18T07:52:00Z</cp:lastPrinted>
  <dcterms:created xsi:type="dcterms:W3CDTF">2021-01-12T13:03:00Z</dcterms:created>
  <dcterms:modified xsi:type="dcterms:W3CDTF">2021-10-19T11:01:00Z</dcterms:modified>
</cp:coreProperties>
</file>