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32" w:type="dxa"/>
        <w:tblInd w:w="113" w:type="dxa"/>
        <w:tblLayout w:type="fixed"/>
        <w:tblCellMar>
          <w:top w:w="9" w:type="dxa"/>
          <w:right w:w="4" w:type="dxa"/>
        </w:tblCellMar>
        <w:tblLook w:val="04A0" w:firstRow="1" w:lastRow="0" w:firstColumn="1" w:lastColumn="0" w:noHBand="0" w:noVBand="1"/>
      </w:tblPr>
      <w:tblGrid>
        <w:gridCol w:w="875"/>
        <w:gridCol w:w="2071"/>
        <w:gridCol w:w="1189"/>
        <w:gridCol w:w="1276"/>
        <w:gridCol w:w="4421"/>
      </w:tblGrid>
      <w:tr w:rsidR="006F52FA" w14:paraId="28F56072" w14:textId="77777777" w:rsidTr="00AA0E1F">
        <w:trPr>
          <w:trHeight w:val="4536"/>
        </w:trPr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45F7" w14:textId="77777777" w:rsidR="006F52FA" w:rsidRDefault="006F52FA" w:rsidP="00CC1993">
            <w:pPr>
              <w:spacing w:line="234" w:lineRule="auto"/>
              <w:ind w:left="5" w:right="2616"/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F3D744" w14:textId="77777777" w:rsidR="006F52FA" w:rsidRDefault="006F52FA" w:rsidP="00CC1993">
            <w:pPr>
              <w:ind w:left="290"/>
            </w:pPr>
            <w:r>
              <w:rPr>
                <w:noProof/>
              </w:rPr>
              <w:drawing>
                <wp:inline distT="0" distB="0" distL="0" distR="0" wp14:anchorId="73A1AEB5" wp14:editId="1CB83CA2">
                  <wp:extent cx="1554480" cy="305435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305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07BE" w14:textId="77777777" w:rsidR="00AA0E1F" w:rsidRDefault="00AA0E1F" w:rsidP="00AA0E1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DE00395" w14:textId="60FB69B4" w:rsidR="006F52FA" w:rsidRDefault="006F52FA" w:rsidP="00AA0E1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ІНФОРМАЦІЙНА КАРТКА</w:t>
            </w:r>
          </w:p>
          <w:p w14:paraId="15F66544" w14:textId="5F83DE7E" w:rsidR="006F52FA" w:rsidRDefault="00AA0E1F" w:rsidP="00AA0E1F">
            <w:pPr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      </w:t>
            </w:r>
            <w:r w:rsidR="006F52FA">
              <w:rPr>
                <w:rFonts w:ascii="Times New Roman" w:eastAsia="Times New Roman" w:hAnsi="Times New Roman" w:cs="Times New Roman"/>
                <w:b/>
                <w:sz w:val="24"/>
              </w:rPr>
              <w:t>№ 1</w:t>
            </w:r>
          </w:p>
          <w:p w14:paraId="5AB5D235" w14:textId="77777777" w:rsidR="006F52FA" w:rsidRDefault="006F52FA" w:rsidP="000B6886">
            <w:pPr>
              <w:spacing w:after="34" w:line="242" w:lineRule="auto"/>
              <w:ind w:left="209" w:firstLine="46"/>
              <w:jc w:val="center"/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2F9F" w14:textId="77777777" w:rsidR="006F52FA" w:rsidRPr="009540D2" w:rsidRDefault="006F52FA" w:rsidP="00AA0E1F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Комунальний заклад</w:t>
            </w:r>
          </w:p>
          <w:p w14:paraId="2E859D9C" w14:textId="77777777" w:rsidR="006F52FA" w:rsidRPr="009540D2" w:rsidRDefault="006F52FA" w:rsidP="00AA0E1F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«Ц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ентр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надання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соціальних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послуг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»</w:t>
            </w:r>
          </w:p>
          <w:p w14:paraId="56FC4203" w14:textId="77777777" w:rsidR="006F52FA" w:rsidRPr="00AA0E1F" w:rsidRDefault="006F52FA" w:rsidP="00AA0E1F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Миколаївської сільс</w:t>
            </w:r>
            <w:r w:rsidRPr="00AA0E1F">
              <w:rPr>
                <w:rFonts w:ascii="Bahnschrift SemiLight" w:hAnsi="Bahnschrift SemiLight"/>
                <w:sz w:val="24"/>
                <w:szCs w:val="24"/>
                <w:lang w:val="uk-UA"/>
              </w:rPr>
              <w:t>ької ради</w:t>
            </w:r>
          </w:p>
          <w:p w14:paraId="628EC939" w14:textId="1ACA71B7" w:rsidR="00AA0E1F" w:rsidRPr="00AA0E1F" w:rsidRDefault="006F52FA" w:rsidP="00AA0E1F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52744 с</w:t>
            </w:r>
            <w:r w:rsidRPr="00AA0E1F">
              <w:rPr>
                <w:rFonts w:ascii="Bahnschrift SemiLight" w:hAnsi="Bahnschrift SemiLight"/>
                <w:sz w:val="24"/>
                <w:szCs w:val="24"/>
                <w:lang w:val="uk-UA"/>
              </w:rPr>
              <w:t>.</w:t>
            </w:r>
            <w:r w:rsidR="00AA0E1F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r w:rsidRPr="00AA0E1F">
              <w:rPr>
                <w:rFonts w:ascii="Bahnschrift SemiLight" w:hAnsi="Bahnschrift SemiLight"/>
                <w:sz w:val="24"/>
                <w:szCs w:val="24"/>
                <w:lang w:val="uk-UA"/>
              </w:rPr>
              <w:t>Миколаївка,</w:t>
            </w:r>
          </w:p>
          <w:p w14:paraId="267D4CDA" w14:textId="57D6271F" w:rsidR="006F52FA" w:rsidRPr="009540D2" w:rsidRDefault="006F52FA" w:rsidP="00AA0E1F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п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ров.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Водний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>,</w:t>
            </w:r>
            <w:r w:rsidR="00AA0E1F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буд</w:t>
            </w:r>
            <w:r w:rsidR="00AA0E1F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2</w:t>
            </w:r>
          </w:p>
          <w:p w14:paraId="2FF9FFEB" w14:textId="77777777" w:rsidR="006F52FA" w:rsidRPr="009540D2" w:rsidRDefault="006F52FA" w:rsidP="00AA0E1F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>Контактний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 xml:space="preserve"> телефон:</w:t>
            </w:r>
          </w:p>
          <w:p w14:paraId="24DBA11B" w14:textId="77777777" w:rsidR="006F52FA" w:rsidRPr="009540D2" w:rsidRDefault="006F52FA" w:rsidP="00AA0E1F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0999619512</w:t>
            </w:r>
          </w:p>
          <w:p w14:paraId="18C04E45" w14:textId="77777777" w:rsidR="006F52FA" w:rsidRPr="009540D2" w:rsidRDefault="006F52FA" w:rsidP="00AA0E1F">
            <w:pPr>
              <w:pStyle w:val="a3"/>
              <w:jc w:val="center"/>
              <w:rPr>
                <w:rFonts w:ascii="Bahnschrift SemiLight" w:hAnsi="Bahnschrift SemiLight"/>
                <w:bCs/>
                <w:color w:val="646464"/>
                <w:sz w:val="24"/>
                <w:szCs w:val="24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електронна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пошта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24876F28" w14:textId="77777777" w:rsidR="006F52FA" w:rsidRPr="009540D2" w:rsidRDefault="006F52FA" w:rsidP="00AA0E1F">
            <w:pPr>
              <w:pStyle w:val="a3"/>
              <w:jc w:val="center"/>
              <w:rPr>
                <w:rFonts w:ascii="Bahnschrift SemiLight" w:hAnsi="Bahnschrift SemiLight"/>
                <w:color w:val="auto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bCs/>
                <w:color w:val="auto"/>
                <w:sz w:val="24"/>
                <w:szCs w:val="24"/>
              </w:rPr>
              <w:t>snspmykolaivska</w:t>
            </w:r>
            <w:hyperlink r:id="rId5" w:history="1">
              <w:r w:rsidRPr="009540D2">
                <w:rPr>
                  <w:rFonts w:ascii="Bahnschrift SemiLight" w:hAnsi="Bahnschrift SemiLight"/>
                  <w:color w:val="auto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@ukr.net</w:t>
              </w:r>
            </w:hyperlink>
          </w:p>
          <w:p w14:paraId="7AC00CF2" w14:textId="77777777" w:rsidR="006F52FA" w:rsidRPr="009540D2" w:rsidRDefault="006F52FA" w:rsidP="00AA0E1F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Прийомні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години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34BDA1B1" w14:textId="77777777" w:rsidR="006F52FA" w:rsidRPr="009540D2" w:rsidRDefault="006F52FA" w:rsidP="00AA0E1F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Пн.-Чт. з 8.00 до 17.00 год;</w:t>
            </w:r>
          </w:p>
          <w:p w14:paraId="69F0CDDA" w14:textId="77777777" w:rsidR="006F52FA" w:rsidRPr="009540D2" w:rsidRDefault="006F52FA" w:rsidP="00AA0E1F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Пт. з 8.00-1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  <w:p w14:paraId="56161A22" w14:textId="49BC2FF7" w:rsidR="006F52FA" w:rsidRDefault="006F52FA" w:rsidP="00AA0E1F">
            <w:pPr>
              <w:shd w:val="clear" w:color="auto" w:fill="FFFFFF"/>
              <w:jc w:val="center"/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перерва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 12.00-1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</w:tc>
      </w:tr>
      <w:tr w:rsidR="006F52FA" w14:paraId="14B9CE6C" w14:textId="77777777" w:rsidTr="00AA0E1F">
        <w:trPr>
          <w:trHeight w:val="532"/>
        </w:trPr>
        <w:tc>
          <w:tcPr>
            <w:tcW w:w="2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C3F0" w14:textId="77777777" w:rsidR="006F52FA" w:rsidRDefault="006F52FA" w:rsidP="00CC1993"/>
        </w:tc>
        <w:tc>
          <w:tcPr>
            <w:tcW w:w="6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B5D0" w14:textId="77777777" w:rsidR="006F52FA" w:rsidRPr="007B32BF" w:rsidRDefault="006F52FA" w:rsidP="00CC1993">
            <w:pPr>
              <w:ind w:left="2"/>
              <w:jc w:val="center"/>
              <w:rPr>
                <w:b/>
              </w:rPr>
            </w:pPr>
            <w:r w:rsidRPr="007B32B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ДОГЛЯД ВДОМА </w:t>
            </w:r>
          </w:p>
        </w:tc>
      </w:tr>
      <w:tr w:rsidR="006F52FA" w14:paraId="737483A0" w14:textId="77777777" w:rsidTr="00AA0E1F">
        <w:trPr>
          <w:trHeight w:val="235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BE45" w14:textId="0538DE21" w:rsidR="006F52FA" w:rsidRPr="00BF7634" w:rsidRDefault="006F52FA" w:rsidP="00AA0E1F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3D5A" w14:textId="77777777" w:rsidR="006F52FA" w:rsidRPr="00BF7634" w:rsidRDefault="006F52FA" w:rsidP="00CC1993">
            <w:pPr>
              <w:ind w:left="169"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Зміст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68D5" w14:textId="1B43A680" w:rsidR="006F52FA" w:rsidRPr="00226711" w:rsidRDefault="00AA0E1F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К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омплекс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заходів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здійснюються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місцем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проживання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вдома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отримувача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протягом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робочого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дня, як</w:t>
            </w:r>
            <w:r w:rsidR="006F52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і</w:t>
            </w:r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спрямован</w:t>
            </w:r>
            <w:proofErr w:type="spellEnd"/>
            <w:r w:rsidR="006F52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і</w:t>
            </w:r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створення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умов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забезпечення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життєдіяльності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осіб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частково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повністю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втратили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не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набули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здатності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до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самообслуговування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6F52FA" w14:paraId="5F7EFE3A" w14:textId="77777777" w:rsidTr="00AA0E1F">
        <w:trPr>
          <w:trHeight w:val="97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D3FC" w14:textId="43A39E49" w:rsidR="006F52FA" w:rsidRPr="00BF7634" w:rsidRDefault="006F52FA" w:rsidP="00AA0E1F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637C" w14:textId="77777777" w:rsidR="006F52FA" w:rsidRPr="00BF7634" w:rsidRDefault="006F52FA" w:rsidP="00CC1993">
            <w:pPr>
              <w:spacing w:after="179"/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окумент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необхідн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отримання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45F7" w14:textId="73891125" w:rsidR="006F52FA" w:rsidRPr="00226711" w:rsidRDefault="00AA0E1F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вернення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заява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отримувача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або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його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законного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6F52FA" w14:paraId="5D81A603" w14:textId="77777777" w:rsidTr="00AA0E1F">
        <w:trPr>
          <w:trHeight w:val="93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EBEDAF" w14:textId="77777777" w:rsidR="006F52FA" w:rsidRPr="00BF7634" w:rsidRDefault="006F52FA" w:rsidP="00CC1993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0A1AA7" w14:textId="77777777" w:rsidR="006F52FA" w:rsidRPr="00BF7634" w:rsidRDefault="006F52FA" w:rsidP="00CC19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Форма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D6ED5" w14:textId="6C63B63E" w:rsidR="006F52FA" w:rsidRPr="00AA0E1F" w:rsidRDefault="00AA0E1F" w:rsidP="00CC19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місцем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вдома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52FA" w14:paraId="2806A7C3" w14:textId="77777777" w:rsidTr="00AA0E1F">
        <w:trPr>
          <w:trHeight w:val="182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D4C8" w14:textId="77777777" w:rsidR="006F52FA" w:rsidRPr="00BF7634" w:rsidRDefault="006F52FA" w:rsidP="00CC1993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4.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FA4F" w14:textId="77777777" w:rsidR="006F52FA" w:rsidRPr="00BF7634" w:rsidRDefault="006F52FA" w:rsidP="00CC1993">
            <w:pPr>
              <w:ind w:left="486" w:right="3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Термін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99FE" w14:textId="2371CFBE" w:rsidR="006F52FA" w:rsidRPr="00AA0E1F" w:rsidRDefault="006F52FA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(ІІІ, ІV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рухової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активності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- 2 рази на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, V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рухової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активності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- 5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разів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A0E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22F77154" w14:textId="1DBE35B2" w:rsidR="006F52FA" w:rsidRPr="00AA0E1F" w:rsidRDefault="006F52FA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A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0E1F">
              <w:rPr>
                <w:rFonts w:ascii="Times New Roman" w:hAnsi="Times New Roman" w:cs="Times New Roman"/>
                <w:sz w:val="28"/>
                <w:szCs w:val="28"/>
              </w:rPr>
              <w:t>Періодично</w:t>
            </w:r>
            <w:proofErr w:type="spellEnd"/>
            <w:r w:rsidR="00AA0E1F">
              <w:rPr>
                <w:rFonts w:ascii="Times New Roman" w:hAnsi="Times New Roman" w:cs="Times New Roman"/>
                <w:sz w:val="28"/>
                <w:szCs w:val="28"/>
              </w:rPr>
              <w:t xml:space="preserve"> (2 рази на </w:t>
            </w:r>
            <w:proofErr w:type="spellStart"/>
            <w:r w:rsidR="00AA0E1F">
              <w:rPr>
                <w:rFonts w:ascii="Times New Roman" w:hAnsi="Times New Roman" w:cs="Times New Roman"/>
                <w:sz w:val="28"/>
                <w:szCs w:val="28"/>
              </w:rPr>
              <w:t>місяць</w:t>
            </w:r>
            <w:proofErr w:type="spellEnd"/>
            <w:r w:rsidR="00AA0E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A0E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09C36502" w14:textId="77777777" w:rsidR="006F52FA" w:rsidRPr="00226711" w:rsidRDefault="006F52FA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Тимчасово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визначений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договорі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52FA" w14:paraId="2F74A65D" w14:textId="77777777" w:rsidTr="00AA0E1F">
        <w:trPr>
          <w:trHeight w:val="11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D811" w14:textId="77777777" w:rsidR="006F52FA" w:rsidRPr="00BF7634" w:rsidRDefault="006F52FA" w:rsidP="00CC1993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5.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E5A8" w14:textId="77777777" w:rsidR="006F52FA" w:rsidRPr="00BF7634" w:rsidRDefault="006F52FA" w:rsidP="00CC19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Соціальні</w:t>
            </w:r>
            <w:proofErr w:type="spellEnd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3EF" w14:textId="461371FA" w:rsidR="006F52FA" w:rsidRDefault="00AA0E1F" w:rsidP="00CC19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соби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пох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особи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хворі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 числа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працездатного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їм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інвалідності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але не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більше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ніж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чотири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місяці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здатні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самообслуговування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постійної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сторонньої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="006F52FA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04202DC" w14:textId="77777777" w:rsidR="006F52FA" w:rsidRPr="00226711" w:rsidRDefault="006F52FA" w:rsidP="00CC19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2FA" w14:paraId="577F030E" w14:textId="77777777" w:rsidTr="00AA0E1F">
        <w:trPr>
          <w:trHeight w:val="832"/>
        </w:trPr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FBC1" w14:textId="71AE4DC9" w:rsidR="006F52FA" w:rsidRPr="00BF7634" w:rsidRDefault="006F52FA" w:rsidP="00AA0E1F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D6E8" w14:textId="77777777" w:rsidR="006F52FA" w:rsidRPr="00BF7634" w:rsidRDefault="006F52FA" w:rsidP="00CC1993">
            <w:pPr>
              <w:ind w:left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Умови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5A2D" w14:textId="4006BFD5" w:rsidR="006F52FA" w:rsidRDefault="006F52FA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115513">
              <w:rPr>
                <w:rFonts w:ascii="Times New Roman" w:hAnsi="Times New Roman" w:cs="Times New Roman"/>
                <w:b/>
                <w:sz w:val="28"/>
                <w:szCs w:val="28"/>
              </w:rPr>
              <w:t>Безоплатно</w:t>
            </w:r>
            <w:proofErr w:type="spellEnd"/>
            <w:r w:rsidRPr="00115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Похилого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, особам з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досягли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AA0E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річного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крім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унаслідок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нещасного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випадку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виробництві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професійного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отримують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соціальну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постійний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сторонній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догляд,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побутове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спеціальне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медичне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до Закону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загальнообов'язкове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державне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соціальне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страхування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нещасного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випадку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виробництві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професійного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спричинили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втрату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працездатності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хворим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(з числа одиноких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працездатного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їм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інвалідності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, але не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більш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чотири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місяці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39264C" w14:textId="77777777" w:rsidR="006F52FA" w:rsidRPr="00226711" w:rsidRDefault="006F52FA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15513">
              <w:rPr>
                <w:rFonts w:ascii="Times New Roman" w:hAnsi="Times New Roman" w:cs="Times New Roman"/>
                <w:b/>
                <w:sz w:val="28"/>
                <w:szCs w:val="28"/>
              </w:rPr>
              <w:t>Платно:</w:t>
            </w:r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Громадянам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похилого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, особам з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досягли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18-річного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хворим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(з числа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працездатного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їм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інвалідності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, але не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більш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чотири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місяці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здатні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самообслуговування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, але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рідних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повинні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їм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 xml:space="preserve"> догляд і </w:t>
            </w:r>
            <w:proofErr w:type="spellStart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52FA" w14:paraId="78CEBCF2" w14:textId="77777777" w:rsidTr="00AA0E1F">
        <w:trPr>
          <w:trHeight w:val="6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1AEF" w14:textId="46EB01E5" w:rsidR="006F52FA" w:rsidRPr="00BF7634" w:rsidRDefault="006F52FA" w:rsidP="00AA0E1F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1D69" w14:textId="77777777" w:rsidR="006F52FA" w:rsidRPr="00BF7634" w:rsidRDefault="006F52FA" w:rsidP="00CC19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Правові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3623" w14:textId="1D4E268E" w:rsidR="006F52FA" w:rsidRDefault="00984FCD" w:rsidP="00CC19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hyperlink r:id="rId6" w:anchor="n14" w:history="1">
              <w:proofErr w:type="spellStart"/>
              <w:r w:rsidR="006F52FA" w:rsidRPr="00927F7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Державний</w:t>
              </w:r>
              <w:proofErr w:type="spellEnd"/>
              <w:r w:rsidR="006F52FA" w:rsidRPr="00927F7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стандарт догляду </w:t>
              </w:r>
              <w:proofErr w:type="spellStart"/>
              <w:r w:rsidR="006F52FA" w:rsidRPr="00927F7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вдома</w:t>
              </w:r>
              <w:proofErr w:type="spellEnd"/>
            </w:hyperlink>
            <w:r w:rsidR="006F52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(наказ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Міністерства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політики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України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13.11.2013</w:t>
            </w:r>
            <w:r w:rsidR="00AA0E1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року </w:t>
            </w:r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760,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зареєстрований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Міністерстві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юстиції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України</w:t>
            </w:r>
            <w:proofErr w:type="spellEnd"/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22.11.2013 р</w:t>
            </w:r>
            <w:r w:rsidR="00AA0E1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</w:t>
            </w:r>
            <w:r w:rsidR="006F52FA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 № 1990/24522).</w:t>
            </w:r>
          </w:p>
          <w:p w14:paraId="3629B342" w14:textId="1FF612EE" w:rsidR="006F52FA" w:rsidRPr="00226711" w:rsidRDefault="00AA0E1F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E1F">
              <w:rPr>
                <w:rFonts w:ascii="Times New Roman" w:hAnsi="Times New Roman" w:cs="Times New Roman"/>
                <w:sz w:val="28"/>
                <w:szCs w:val="28"/>
              </w:rPr>
              <w:t>https://zakon.rada.gov.ua/laws/show/z1990-13#Text</w:t>
            </w:r>
          </w:p>
        </w:tc>
      </w:tr>
      <w:tr w:rsidR="006F52FA" w14:paraId="43412879" w14:textId="77777777" w:rsidTr="00AA0E1F">
        <w:trPr>
          <w:trHeight w:val="6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852E" w14:textId="77777777" w:rsidR="006F52FA" w:rsidRPr="00FB6612" w:rsidRDefault="006F52FA" w:rsidP="00AA0E1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F388" w14:textId="77777777" w:rsidR="006F52FA" w:rsidRPr="00BF7634" w:rsidRDefault="006F52FA" w:rsidP="00CC1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відмови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5643" w14:textId="35DCFB1C" w:rsidR="006F52FA" w:rsidRPr="00FB6612" w:rsidRDefault="00AA0E1F" w:rsidP="00CC1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Н</w:t>
            </w:r>
            <w:r w:rsidR="006F52FA"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е здійснюється</w:t>
            </w:r>
            <w:r w:rsidR="006F52FA"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</w:t>
            </w:r>
            <w:proofErr w:type="spellEnd"/>
            <w:r w:rsidR="006F52FA"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е</w:t>
            </w:r>
            <w:r w:rsidR="006F52FA"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обслуговуванн</w:t>
            </w:r>
            <w:proofErr w:type="spellEnd"/>
            <w:r w:rsidR="006F52FA"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я</w:t>
            </w:r>
            <w:r w:rsidR="006F52FA"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="006F52FA"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наданн</w:t>
            </w:r>
            <w:proofErr w:type="spellEnd"/>
            <w:r w:rsidR="006F52FA"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я</w:t>
            </w:r>
            <w:r w:rsidR="006F52FA"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соціальних</w:t>
            </w:r>
            <w:proofErr w:type="spellEnd"/>
            <w:r w:rsidR="006F52FA"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52FA"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</w:t>
            </w:r>
            <w:proofErr w:type="spellEnd"/>
            <w:r w:rsidR="006F52FA"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  <w:r w:rsidR="006F52FA"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громадян, які потребують цілодобового стороннього догляду.</w:t>
            </w:r>
          </w:p>
        </w:tc>
      </w:tr>
      <w:tr w:rsidR="006F52FA" w14:paraId="32AEB6A5" w14:textId="77777777" w:rsidTr="00AA0E1F">
        <w:trPr>
          <w:trHeight w:val="125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17CE" w14:textId="66DF4314" w:rsidR="006F52FA" w:rsidRPr="00BF7634" w:rsidRDefault="006F52FA" w:rsidP="00AA0E1F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9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2787" w14:textId="77777777" w:rsidR="006F52FA" w:rsidRPr="00BF7634" w:rsidRDefault="006F52FA" w:rsidP="00CC19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припинення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6340" w14:textId="5B9FB06B" w:rsidR="006F52FA" w:rsidRPr="00FB6612" w:rsidRDefault="006F52FA" w:rsidP="00CC1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B66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</w:t>
            </w:r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поліпшення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стану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здоров'я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виходу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із</w:t>
            </w:r>
            <w:proofErr w:type="spellEnd"/>
            <w:proofErr w:type="gram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складних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життєвих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обставин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 в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результаті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чого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громадянин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втрачає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потребу   в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соціальному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обслуговуванні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наданні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соціальних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); </w:t>
            </w:r>
          </w:p>
          <w:p w14:paraId="209455CF" w14:textId="77777777" w:rsidR="006F52FA" w:rsidRPr="00FB6612" w:rsidRDefault="006F52FA" w:rsidP="00CC1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2)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виявлення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у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громадянина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якого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безоплатно</w:t>
            </w:r>
            <w:proofErr w:type="spellEnd"/>
            <w:proofErr w:type="gram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обслуговує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центр,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працездатних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рідних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(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батьків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дітей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чоловіка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дружини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або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осіб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відповідно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до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законодавства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повинні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забезпечити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йому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догляд і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допомогу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або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осіб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 з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якими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укладено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договір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довічного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утримання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(догляду); </w:t>
            </w:r>
          </w:p>
          <w:p w14:paraId="75ACAB94" w14:textId="44AAA562" w:rsidR="006F52FA" w:rsidRPr="00FB6612" w:rsidRDefault="006F52FA" w:rsidP="00CC1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3)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направлення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громадянина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будинку-і</w:t>
            </w:r>
            <w:r w:rsidR="00AA0E1F">
              <w:rPr>
                <w:rFonts w:ascii="Times New Roman" w:eastAsia="Times New Roman" w:hAnsi="Times New Roman" w:cs="Times New Roman"/>
                <w:sz w:val="28"/>
                <w:szCs w:val="28"/>
              </w:rPr>
              <w:t>нтернату</w:t>
            </w:r>
            <w:proofErr w:type="spellEnd"/>
            <w:r w:rsidR="00AA0E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AA0E1F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="00AA0E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0E1F"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похилого</w:t>
            </w:r>
            <w:proofErr w:type="spellEnd"/>
            <w:r w:rsidR="00AA0E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пансіонату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психоневрологічного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інтернату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громадянину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proofErr w:type="gram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  догляду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вдома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та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похилого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інвалідів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закладах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постійного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7C3F549B" w14:textId="77777777" w:rsidR="006F52FA" w:rsidRPr="00FB6612" w:rsidRDefault="006F52FA" w:rsidP="00CC19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4)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49DCAA7" w14:textId="61977A97" w:rsidR="006F52FA" w:rsidRPr="00FB6612" w:rsidRDefault="006F52FA" w:rsidP="00CC1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 грубого,  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принизливого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ставлення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громадянина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до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соціальних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робітників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14:paraId="54742463" w14:textId="6F1DD16E" w:rsidR="006F52FA" w:rsidRPr="00FB6612" w:rsidRDefault="006F52FA" w:rsidP="00CC1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="00AA0E1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по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рушення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громадського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порядку (сварки,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бійки</w:t>
            </w:r>
            <w:proofErr w:type="spellEnd"/>
            <w:r w:rsidR="00AA0E1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,</w:t>
            </w:r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); </w:t>
            </w:r>
          </w:p>
          <w:p w14:paraId="06A4BAE4" w14:textId="77777777" w:rsidR="006F52FA" w:rsidRPr="00FB6612" w:rsidRDefault="006F52FA" w:rsidP="00CC1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 систематичного 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перебування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в  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стані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алкогольного,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наркотичного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сп'яніння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14:paraId="78A276E5" w14:textId="2A5C7400" w:rsidR="006F52FA" w:rsidRPr="00FB6612" w:rsidRDefault="006F52FA" w:rsidP="00CC19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   8</w:t>
            </w:r>
            <w:r w:rsidRPr="00FB66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громадянинові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фізичною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особою,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призначено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щомісячну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компенсаційну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виплату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догля</w:t>
            </w:r>
            <w:r w:rsidR="00AA0E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в </w:t>
            </w:r>
            <w:proofErr w:type="spellStart"/>
            <w:r w:rsidR="00AA0E1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установленому</w:t>
            </w:r>
            <w:proofErr w:type="spellEnd"/>
            <w:r w:rsidR="00AA0E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0E1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законодавств</w:t>
            </w:r>
            <w:proofErr w:type="spellEnd"/>
            <w:r w:rsidR="00AA0E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BB826A1" w14:textId="65F84D96" w:rsidR="006F52FA" w:rsidRPr="00226711" w:rsidRDefault="006F52FA" w:rsidP="00CC19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9)</w:t>
            </w:r>
            <w:r w:rsidR="00AA0E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відмови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законного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</w:t>
            </w:r>
            <w:proofErr w:type="spellEnd"/>
          </w:p>
        </w:tc>
      </w:tr>
    </w:tbl>
    <w:p w14:paraId="61B45186" w14:textId="77777777" w:rsidR="00CF313A" w:rsidRDefault="00CF313A"/>
    <w:sectPr w:rsidR="00CF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8E"/>
    <w:rsid w:val="000B6886"/>
    <w:rsid w:val="006F52FA"/>
    <w:rsid w:val="00764F04"/>
    <w:rsid w:val="00984FCD"/>
    <w:rsid w:val="00A7238E"/>
    <w:rsid w:val="00AA0E1F"/>
    <w:rsid w:val="00B41BC8"/>
    <w:rsid w:val="00CF313A"/>
    <w:rsid w:val="00D5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D0E8"/>
  <w15:chartTrackingRefBased/>
  <w15:docId w15:val="{0C99A7C8-48B6-4768-8B54-30C4A16F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2F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F52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F52FA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6F52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52FA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990-13" TargetMode="External"/><Relationship Id="rId5" Type="http://schemas.openxmlformats.org/officeDocument/2006/relationships/hyperlink" Target="mailto:mirnetercent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2735</Words>
  <Characters>1560</Characters>
  <Application>Microsoft Office Word</Application>
  <DocSecurity>0</DocSecurity>
  <Lines>13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2021-02-19T12:01:00Z</dcterms:created>
  <dcterms:modified xsi:type="dcterms:W3CDTF">2021-02-19T12:01:00Z</dcterms:modified>
</cp:coreProperties>
</file>